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AA88E" w14:textId="77777777" w:rsidR="00AE7F6F" w:rsidRDefault="00AE7F6F" w:rsidP="00BC0434">
      <w:pPr>
        <w:spacing w:before="120" w:after="0" w:line="240" w:lineRule="auto"/>
        <w:rPr>
          <w:rFonts w:ascii="Segoe UI" w:eastAsia="Times New Roman" w:hAnsi="Segoe UI" w:cs="Segoe UI"/>
          <w:color w:val="000000"/>
          <w:sz w:val="21"/>
          <w:szCs w:val="21"/>
          <w:lang w:eastAsia="es-CO"/>
        </w:rPr>
      </w:pPr>
    </w:p>
    <w:p w14:paraId="6D1E3CEC" w14:textId="77777777" w:rsidR="00AC76BE" w:rsidRDefault="00AC76BE" w:rsidP="00BC0434">
      <w:pPr>
        <w:spacing w:before="120" w:after="0" w:line="240" w:lineRule="auto"/>
        <w:rPr>
          <w:rFonts w:ascii="Arial" w:eastAsia="Times New Roman" w:hAnsi="Arial" w:cs="Arial"/>
          <w:b/>
          <w:bCs/>
          <w:color w:val="000000"/>
          <w:sz w:val="24"/>
          <w:szCs w:val="24"/>
          <w:lang w:eastAsia="es-CO"/>
        </w:rPr>
      </w:pPr>
      <w:r>
        <w:rPr>
          <w:rFonts w:ascii="Arial" w:eastAsia="Times New Roman" w:hAnsi="Arial" w:cs="Arial"/>
          <w:b/>
          <w:bCs/>
          <w:color w:val="000000"/>
          <w:sz w:val="24"/>
          <w:szCs w:val="24"/>
          <w:lang w:eastAsia="es-CO"/>
        </w:rPr>
        <w:t xml:space="preserve">ACT- </w:t>
      </w:r>
    </w:p>
    <w:p w14:paraId="014154CF" w14:textId="2AF0A608" w:rsidR="00AE7F6F" w:rsidRPr="00C551C6" w:rsidRDefault="00AE7F6F" w:rsidP="00BC0434">
      <w:pPr>
        <w:spacing w:before="120" w:after="0" w:line="240" w:lineRule="auto"/>
        <w:rPr>
          <w:rFonts w:ascii="Arial" w:eastAsia="Times New Roman" w:hAnsi="Arial" w:cs="Arial"/>
          <w:b/>
          <w:bCs/>
          <w:color w:val="000000"/>
          <w:sz w:val="24"/>
          <w:szCs w:val="24"/>
          <w:lang w:eastAsia="es-CO"/>
        </w:rPr>
      </w:pPr>
      <w:r w:rsidRPr="00C551C6">
        <w:rPr>
          <w:rFonts w:ascii="Arial" w:eastAsia="Times New Roman" w:hAnsi="Arial" w:cs="Arial"/>
          <w:b/>
          <w:bCs/>
          <w:color w:val="000000"/>
          <w:sz w:val="24"/>
          <w:szCs w:val="24"/>
          <w:lang w:eastAsia="es-CO"/>
        </w:rPr>
        <w:t xml:space="preserve">INFORME SOBRE EL PROYECTO DE </w:t>
      </w:r>
      <w:r w:rsidR="00AB7FF0" w:rsidRPr="00C551C6">
        <w:rPr>
          <w:rFonts w:ascii="Arial" w:eastAsia="Times New Roman" w:hAnsi="Arial" w:cs="Arial"/>
          <w:b/>
          <w:bCs/>
          <w:color w:val="000000"/>
          <w:sz w:val="24"/>
          <w:szCs w:val="24"/>
          <w:lang w:eastAsia="es-CO"/>
        </w:rPr>
        <w:t>LEY 067 DE 2025 SENAD</w:t>
      </w:r>
      <w:r w:rsidR="00317886">
        <w:rPr>
          <w:rFonts w:ascii="Arial" w:eastAsia="Times New Roman" w:hAnsi="Arial" w:cs="Arial"/>
          <w:b/>
          <w:bCs/>
          <w:color w:val="000000"/>
          <w:sz w:val="24"/>
          <w:szCs w:val="24"/>
          <w:lang w:eastAsia="es-CO"/>
        </w:rPr>
        <w:t>D</w:t>
      </w:r>
      <w:r w:rsidR="00AB7FF0" w:rsidRPr="00C551C6">
        <w:rPr>
          <w:rFonts w:ascii="Arial" w:eastAsia="Times New Roman" w:hAnsi="Arial" w:cs="Arial"/>
          <w:b/>
          <w:bCs/>
          <w:color w:val="000000"/>
          <w:sz w:val="24"/>
          <w:szCs w:val="24"/>
          <w:lang w:eastAsia="es-CO"/>
        </w:rPr>
        <w:t xml:space="preserve">O </w:t>
      </w:r>
    </w:p>
    <w:p w14:paraId="68B714D9" w14:textId="76B0F7C6" w:rsidR="00627B1A" w:rsidRPr="00C551C6" w:rsidRDefault="00627B1A" w:rsidP="00BC0434">
      <w:pPr>
        <w:spacing w:before="120" w:after="0" w:line="240" w:lineRule="auto"/>
        <w:rPr>
          <w:rFonts w:ascii="Arial" w:eastAsia="Times New Roman" w:hAnsi="Arial" w:cs="Arial"/>
          <w:b/>
          <w:bCs/>
          <w:color w:val="000000"/>
          <w:sz w:val="24"/>
          <w:szCs w:val="24"/>
          <w:lang w:eastAsia="es-CO"/>
        </w:rPr>
      </w:pPr>
      <w:r w:rsidRPr="00C551C6">
        <w:rPr>
          <w:rFonts w:ascii="Arial" w:eastAsia="Times New Roman" w:hAnsi="Arial" w:cs="Arial"/>
          <w:b/>
          <w:bCs/>
          <w:color w:val="000000"/>
          <w:sz w:val="24"/>
          <w:szCs w:val="24"/>
          <w:lang w:eastAsia="es-CO"/>
        </w:rPr>
        <w:t xml:space="preserve">Autor : </w:t>
      </w:r>
      <w:r w:rsidR="006275C1" w:rsidRPr="00C551C6">
        <w:rPr>
          <w:rFonts w:ascii="Arial" w:eastAsia="Times New Roman" w:hAnsi="Arial" w:cs="Arial"/>
          <w:b/>
          <w:bCs/>
          <w:color w:val="000000"/>
          <w:sz w:val="24"/>
          <w:szCs w:val="24"/>
          <w:lang w:eastAsia="es-CO"/>
        </w:rPr>
        <w:t xml:space="preserve">José David </w:t>
      </w:r>
      <w:proofErr w:type="spellStart"/>
      <w:r w:rsidR="006275C1" w:rsidRPr="00C551C6">
        <w:rPr>
          <w:rFonts w:ascii="Arial" w:eastAsia="Times New Roman" w:hAnsi="Arial" w:cs="Arial"/>
          <w:b/>
          <w:bCs/>
          <w:color w:val="000000"/>
          <w:sz w:val="24"/>
          <w:szCs w:val="24"/>
          <w:lang w:eastAsia="es-CO"/>
        </w:rPr>
        <w:t>Name</w:t>
      </w:r>
      <w:proofErr w:type="spellEnd"/>
      <w:r w:rsidR="00D21F56">
        <w:rPr>
          <w:rFonts w:ascii="Arial" w:eastAsia="Times New Roman" w:hAnsi="Arial" w:cs="Arial"/>
          <w:b/>
          <w:bCs/>
          <w:color w:val="000000"/>
          <w:sz w:val="24"/>
          <w:szCs w:val="24"/>
          <w:lang w:eastAsia="es-CO"/>
        </w:rPr>
        <w:t xml:space="preserve"> </w:t>
      </w:r>
      <w:r w:rsidR="006275C1" w:rsidRPr="00C551C6">
        <w:rPr>
          <w:rFonts w:ascii="Arial" w:eastAsia="Times New Roman" w:hAnsi="Arial" w:cs="Arial"/>
          <w:b/>
          <w:bCs/>
          <w:color w:val="000000"/>
          <w:sz w:val="24"/>
          <w:szCs w:val="24"/>
          <w:lang w:eastAsia="es-CO"/>
        </w:rPr>
        <w:t>Cardozo</w:t>
      </w:r>
    </w:p>
    <w:p w14:paraId="0CD4D05A" w14:textId="116502A8" w:rsidR="006275C1" w:rsidRPr="00C551C6" w:rsidRDefault="006275C1" w:rsidP="00BC0434">
      <w:pPr>
        <w:spacing w:before="120" w:after="0" w:line="240" w:lineRule="auto"/>
        <w:rPr>
          <w:rFonts w:ascii="Arial" w:eastAsia="Times New Roman" w:hAnsi="Arial" w:cs="Arial"/>
          <w:b/>
          <w:bCs/>
          <w:color w:val="000000"/>
          <w:sz w:val="24"/>
          <w:szCs w:val="24"/>
          <w:lang w:eastAsia="es-CO"/>
        </w:rPr>
      </w:pPr>
      <w:r w:rsidRPr="00C551C6">
        <w:rPr>
          <w:rFonts w:ascii="Arial" w:eastAsia="Times New Roman" w:hAnsi="Arial" w:cs="Arial"/>
          <w:b/>
          <w:bCs/>
          <w:color w:val="000000"/>
          <w:sz w:val="24"/>
          <w:szCs w:val="24"/>
          <w:lang w:eastAsia="es-CO"/>
        </w:rPr>
        <w:t>Ponente: Didier lobo Chinchilla</w:t>
      </w:r>
    </w:p>
    <w:p w14:paraId="7FA23417" w14:textId="5E8B0962" w:rsidR="00556DD4" w:rsidRPr="00C551C6" w:rsidRDefault="006275C1" w:rsidP="00AB7FF0">
      <w:pPr>
        <w:spacing w:before="120"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Este Proyecto</w:t>
      </w:r>
      <w:r w:rsidR="00AB7FF0" w:rsidRPr="00C551C6">
        <w:rPr>
          <w:rFonts w:ascii="Arial" w:eastAsia="Times New Roman" w:hAnsi="Arial" w:cs="Arial"/>
          <w:color w:val="000000"/>
          <w:sz w:val="24"/>
          <w:szCs w:val="24"/>
          <w:lang w:eastAsia="es-CO"/>
        </w:rPr>
        <w:t xml:space="preserve"> de Ley busca</w:t>
      </w:r>
      <w:r w:rsidR="00556DD4" w:rsidRPr="00556DD4">
        <w:rPr>
          <w:rFonts w:ascii="Arial" w:eastAsia="Times New Roman" w:hAnsi="Arial" w:cs="Arial"/>
          <w:color w:val="000000"/>
          <w:sz w:val="24"/>
          <w:szCs w:val="24"/>
          <w:lang w:eastAsia="es-CO"/>
        </w:rPr>
        <w:t xml:space="preserve"> cambiar cómo se remunera a los propietarios de terrenos donde se extraen hidrocarburos, además de crear fondos para inversión social y seguridad en las comunidades afectadas. La idea principal es que, además de la indemnización tradicional, los dueños de esos terrenos reciban un pago periódico basado en un porcentaje del valor bruto de la producción, para que puedan participar en los beneficios económicos y haya una distribución.</w:t>
      </w:r>
    </w:p>
    <w:p w14:paraId="44A164DF" w14:textId="64D95CF5" w:rsidR="006275C1" w:rsidRPr="00C551C6" w:rsidRDefault="006275C1" w:rsidP="00AB7FF0">
      <w:pPr>
        <w:spacing w:before="120"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 xml:space="preserve">El porcentaje para los dueños de predios sería de: </w:t>
      </w:r>
    </w:p>
    <w:p w14:paraId="24DB98DA" w14:textId="4DEB1AA0" w:rsidR="006275C1" w:rsidRPr="00C551C6" w:rsidRDefault="006275C1" w:rsidP="00AB7FF0">
      <w:pPr>
        <w:spacing w:before="120"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0.2% por hidrocarburos líquidos</w:t>
      </w:r>
    </w:p>
    <w:p w14:paraId="75F96D2E" w14:textId="2B508D45" w:rsidR="006275C1" w:rsidRPr="00C551C6" w:rsidRDefault="006275C1" w:rsidP="00AB7FF0">
      <w:pPr>
        <w:spacing w:before="120"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0.1% por hidrocarburos no líquidos</w:t>
      </w:r>
    </w:p>
    <w:p w14:paraId="00EBA4FD" w14:textId="77777777" w:rsidR="00556DD4" w:rsidRPr="00C551C6" w:rsidRDefault="00556DD4" w:rsidP="00AB7FF0">
      <w:pPr>
        <w:spacing w:before="120"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Resumen del PL 067 de 2025 Senado</w:t>
      </w:r>
    </w:p>
    <w:p w14:paraId="0ECA3EC9" w14:textId="3A018683" w:rsidR="00556DD4" w:rsidRPr="00C551C6" w:rsidRDefault="00556DD4" w:rsidP="00AB7FF0">
      <w:pPr>
        <w:spacing w:before="120"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 xml:space="preserve">Marco </w:t>
      </w:r>
      <w:r w:rsidR="00BC0434" w:rsidRPr="00C551C6">
        <w:rPr>
          <w:rFonts w:ascii="Arial" w:eastAsia="Times New Roman" w:hAnsi="Arial" w:cs="Arial"/>
          <w:color w:val="000000"/>
          <w:sz w:val="24"/>
          <w:szCs w:val="24"/>
          <w:lang w:eastAsia="es-CO"/>
        </w:rPr>
        <w:t>Legal:</w:t>
      </w:r>
      <w:r w:rsidRPr="00C551C6">
        <w:rPr>
          <w:rFonts w:ascii="Arial" w:eastAsia="Times New Roman" w:hAnsi="Arial" w:cs="Arial"/>
          <w:color w:val="000000"/>
          <w:sz w:val="24"/>
          <w:szCs w:val="24"/>
          <w:lang w:eastAsia="es-CO"/>
        </w:rPr>
        <w:t xml:space="preserve"> </w:t>
      </w:r>
    </w:p>
    <w:p w14:paraId="25AF27B6" w14:textId="77777777" w:rsidR="00556DD4" w:rsidRPr="00556DD4" w:rsidRDefault="00556DD4" w:rsidP="00AB7FF0">
      <w:pPr>
        <w:spacing w:after="0" w:line="240" w:lineRule="auto"/>
        <w:jc w:val="both"/>
        <w:rPr>
          <w:rFonts w:ascii="Arial" w:eastAsia="Times New Roman" w:hAnsi="Arial" w:cs="Arial"/>
          <w:color w:val="000000"/>
          <w:sz w:val="24"/>
          <w:szCs w:val="24"/>
          <w:lang w:eastAsia="es-CO"/>
        </w:rPr>
      </w:pPr>
      <w:r w:rsidRPr="00556DD4">
        <w:rPr>
          <w:rFonts w:ascii="Arial" w:eastAsia="Times New Roman" w:hAnsi="Arial" w:cs="Arial"/>
          <w:color w:val="000000"/>
          <w:sz w:val="24"/>
          <w:szCs w:val="24"/>
          <w:lang w:eastAsia="es-CO"/>
        </w:rPr>
        <w:t>La iniciativa se basa en el marco normativo existente, incluyendo:</w:t>
      </w:r>
    </w:p>
    <w:p w14:paraId="4B93476F" w14:textId="22E23D52" w:rsidR="00556DD4" w:rsidRPr="00556DD4" w:rsidRDefault="00556DD4" w:rsidP="00AB7FF0">
      <w:pPr>
        <w:spacing w:after="0" w:line="240" w:lineRule="auto"/>
        <w:jc w:val="both"/>
        <w:rPr>
          <w:rFonts w:ascii="Arial" w:eastAsia="Times New Roman" w:hAnsi="Arial" w:cs="Arial"/>
          <w:color w:val="000000"/>
          <w:sz w:val="24"/>
          <w:szCs w:val="24"/>
          <w:lang w:eastAsia="es-CO"/>
        </w:rPr>
      </w:pPr>
      <w:r w:rsidRPr="00556DD4">
        <w:rPr>
          <w:rFonts w:ascii="Arial" w:eastAsia="Times New Roman" w:hAnsi="Arial" w:cs="Arial"/>
          <w:color w:val="000000"/>
          <w:sz w:val="24"/>
          <w:szCs w:val="24"/>
          <w:lang w:eastAsia="es-CO"/>
        </w:rPr>
        <w:t>La Constitución Política de Colombia, que faculta al Congreso para establecer contribuciones fiscales y parafiscales.</w:t>
      </w:r>
      <w:r w:rsidRPr="00C551C6">
        <w:rPr>
          <w:rFonts w:ascii="Arial" w:eastAsia="Times New Roman" w:hAnsi="Arial" w:cs="Arial"/>
          <w:color w:val="000000"/>
          <w:sz w:val="24"/>
          <w:szCs w:val="24"/>
          <w:lang w:eastAsia="es-CO"/>
        </w:rPr>
        <w:t xml:space="preserve">  </w:t>
      </w:r>
    </w:p>
    <w:p w14:paraId="6C2850C0" w14:textId="1801BDC1" w:rsidR="00556DD4" w:rsidRPr="00556DD4" w:rsidRDefault="00556DD4" w:rsidP="00AB7FF0">
      <w:pPr>
        <w:spacing w:after="0" w:line="240" w:lineRule="auto"/>
        <w:jc w:val="both"/>
        <w:rPr>
          <w:rFonts w:ascii="Arial" w:eastAsia="Times New Roman" w:hAnsi="Arial" w:cs="Arial"/>
          <w:color w:val="000000"/>
          <w:sz w:val="24"/>
          <w:szCs w:val="24"/>
          <w:lang w:eastAsia="es-CO"/>
        </w:rPr>
      </w:pPr>
      <w:r w:rsidRPr="00556DD4">
        <w:rPr>
          <w:rFonts w:ascii="Arial" w:eastAsia="Times New Roman" w:hAnsi="Arial" w:cs="Arial"/>
          <w:color w:val="000000"/>
          <w:sz w:val="24"/>
          <w:szCs w:val="24"/>
          <w:lang w:eastAsia="es-CO"/>
        </w:rPr>
        <w:t>La Ley 1274 de 2009, que regula la negociación de servidumbres petroleras y mecanismos de indemnizació</w:t>
      </w:r>
      <w:r w:rsidRPr="00C551C6">
        <w:rPr>
          <w:rFonts w:ascii="Arial" w:eastAsia="Times New Roman" w:hAnsi="Arial" w:cs="Arial"/>
          <w:color w:val="000000"/>
          <w:sz w:val="24"/>
          <w:szCs w:val="24"/>
          <w:lang w:eastAsia="es-CO"/>
        </w:rPr>
        <w:t>n</w:t>
      </w:r>
      <w:r w:rsidR="00AB7FF0" w:rsidRPr="00C551C6">
        <w:rPr>
          <w:rFonts w:ascii="Arial" w:eastAsia="Times New Roman" w:hAnsi="Arial" w:cs="Arial"/>
          <w:color w:val="000000"/>
          <w:sz w:val="24"/>
          <w:szCs w:val="24"/>
          <w:lang w:eastAsia="es-CO"/>
        </w:rPr>
        <w:t>.</w:t>
      </w:r>
      <w:r w:rsidRPr="00C551C6">
        <w:rPr>
          <w:rFonts w:ascii="Arial" w:eastAsia="Times New Roman" w:hAnsi="Arial" w:cs="Arial"/>
          <w:color w:val="000000"/>
          <w:sz w:val="24"/>
          <w:szCs w:val="24"/>
          <w:lang w:eastAsia="es-CO"/>
        </w:rPr>
        <w:t xml:space="preserve">    </w:t>
      </w:r>
    </w:p>
    <w:p w14:paraId="61AED760" w14:textId="58ABE167" w:rsidR="00556DD4" w:rsidRPr="00556DD4" w:rsidRDefault="00556DD4" w:rsidP="00AB7FF0">
      <w:pPr>
        <w:spacing w:after="0" w:line="240" w:lineRule="auto"/>
        <w:jc w:val="both"/>
        <w:rPr>
          <w:rFonts w:ascii="Arial" w:eastAsia="Times New Roman" w:hAnsi="Arial" w:cs="Arial"/>
          <w:color w:val="000000"/>
          <w:sz w:val="24"/>
          <w:szCs w:val="24"/>
          <w:lang w:eastAsia="es-CO"/>
        </w:rPr>
      </w:pPr>
      <w:r w:rsidRPr="00556DD4">
        <w:rPr>
          <w:rFonts w:ascii="Arial" w:eastAsia="Times New Roman" w:hAnsi="Arial" w:cs="Arial"/>
          <w:color w:val="000000"/>
          <w:sz w:val="24"/>
          <w:szCs w:val="24"/>
          <w:lang w:eastAsia="es-CO"/>
        </w:rPr>
        <w:t>La Sentencia C-641 de 2010, que reafirma la propiedad del Estado sobre el subsuelo y la gestión de hidrocarburos por la Agencia Nacional de Hidrocarburos.</w:t>
      </w:r>
      <w:r w:rsidRPr="00C551C6">
        <w:rPr>
          <w:rFonts w:ascii="Arial" w:eastAsia="Times New Roman" w:hAnsi="Arial" w:cs="Arial"/>
          <w:color w:val="000000"/>
          <w:sz w:val="24"/>
          <w:szCs w:val="24"/>
          <w:lang w:eastAsia="es-CO"/>
        </w:rPr>
        <w:t xml:space="preserve">    </w:t>
      </w:r>
    </w:p>
    <w:p w14:paraId="0B896102" w14:textId="39F26B1A" w:rsidR="00556DD4" w:rsidRPr="00556DD4" w:rsidRDefault="00556DD4" w:rsidP="00AB7FF0">
      <w:pPr>
        <w:spacing w:after="0" w:line="240" w:lineRule="auto"/>
        <w:jc w:val="both"/>
        <w:rPr>
          <w:rFonts w:ascii="Arial" w:eastAsia="Times New Roman" w:hAnsi="Arial" w:cs="Arial"/>
          <w:color w:val="000000"/>
          <w:sz w:val="24"/>
          <w:szCs w:val="24"/>
          <w:lang w:eastAsia="es-CO"/>
        </w:rPr>
      </w:pPr>
      <w:r w:rsidRPr="00556DD4">
        <w:rPr>
          <w:rFonts w:ascii="Arial" w:eastAsia="Times New Roman" w:hAnsi="Arial" w:cs="Arial"/>
          <w:color w:val="000000"/>
          <w:sz w:val="24"/>
          <w:szCs w:val="24"/>
          <w:lang w:eastAsia="es-CO"/>
        </w:rPr>
        <w:t>La normativa vigente contempla mecanismos de indemnización y programas de beneficio para comunidades afectadas, con énfasis en la protección de los derechos de los propietarios y la negociación directa.</w:t>
      </w:r>
    </w:p>
    <w:p w14:paraId="3910D100" w14:textId="21E1A081" w:rsidR="00556DD4" w:rsidRPr="00C551C6" w:rsidRDefault="00556DD4" w:rsidP="00AB7FF0">
      <w:pPr>
        <w:spacing w:after="0" w:line="240" w:lineRule="auto"/>
        <w:jc w:val="both"/>
        <w:outlineLvl w:val="2"/>
        <w:rPr>
          <w:rFonts w:ascii="Arial" w:eastAsia="Times New Roman" w:hAnsi="Arial" w:cs="Arial"/>
          <w:color w:val="000000"/>
          <w:sz w:val="24"/>
          <w:szCs w:val="24"/>
          <w:lang w:eastAsia="es-CO"/>
        </w:rPr>
      </w:pPr>
    </w:p>
    <w:p w14:paraId="445E8156" w14:textId="04E0C2D9" w:rsidR="00BC0434" w:rsidRPr="00C551C6" w:rsidRDefault="00BC0434" w:rsidP="00AB7FF0">
      <w:pPr>
        <w:spacing w:after="0" w:line="240" w:lineRule="auto"/>
        <w:jc w:val="both"/>
        <w:outlineLvl w:val="2"/>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PROPUESTA PRINCIPALES DEL PROYECTO</w:t>
      </w:r>
    </w:p>
    <w:p w14:paraId="1225C19F" w14:textId="77777777" w:rsidR="00AB7FF0" w:rsidRPr="00C551C6" w:rsidRDefault="00AB7FF0" w:rsidP="00AB7FF0">
      <w:pPr>
        <w:spacing w:after="0" w:line="240" w:lineRule="auto"/>
        <w:jc w:val="both"/>
        <w:outlineLvl w:val="2"/>
        <w:rPr>
          <w:rFonts w:ascii="Arial" w:eastAsia="Times New Roman" w:hAnsi="Arial" w:cs="Arial"/>
          <w:color w:val="000000"/>
          <w:sz w:val="24"/>
          <w:szCs w:val="24"/>
          <w:lang w:eastAsia="es-CO"/>
        </w:rPr>
      </w:pPr>
    </w:p>
    <w:p w14:paraId="69EE3FF8" w14:textId="4631E683" w:rsidR="00BC0434" w:rsidRPr="00C551C6" w:rsidRDefault="00AB7FF0" w:rsidP="00AB7FF0">
      <w:pPr>
        <w:spacing w:after="0" w:line="240" w:lineRule="auto"/>
        <w:jc w:val="both"/>
        <w:outlineLvl w:val="2"/>
        <w:rPr>
          <w:rFonts w:ascii="Arial" w:eastAsia="Times New Roman" w:hAnsi="Arial" w:cs="Arial"/>
          <w:b/>
          <w:bCs/>
          <w:color w:val="000000"/>
          <w:sz w:val="24"/>
          <w:szCs w:val="24"/>
          <w:lang w:eastAsia="es-CO"/>
        </w:rPr>
      </w:pPr>
      <w:r w:rsidRPr="00C551C6">
        <w:rPr>
          <w:rFonts w:ascii="Arial" w:eastAsia="Times New Roman" w:hAnsi="Arial" w:cs="Arial"/>
          <w:b/>
          <w:bCs/>
          <w:color w:val="000000"/>
          <w:sz w:val="24"/>
          <w:szCs w:val="24"/>
          <w:lang w:eastAsia="es-CO"/>
        </w:rPr>
        <w:t>Re</w:t>
      </w:r>
      <w:r w:rsidR="00BC0434" w:rsidRPr="00C551C6">
        <w:rPr>
          <w:rFonts w:ascii="Arial" w:eastAsia="Times New Roman" w:hAnsi="Arial" w:cs="Arial"/>
          <w:b/>
          <w:bCs/>
          <w:color w:val="000000"/>
          <w:sz w:val="24"/>
          <w:szCs w:val="24"/>
          <w:lang w:eastAsia="es-CO"/>
        </w:rPr>
        <w:t>muneración periódica a propietarios de predios</w:t>
      </w:r>
    </w:p>
    <w:p w14:paraId="21162101" w14:textId="760E8BFE" w:rsidR="00BC0434" w:rsidRPr="00C551C6" w:rsidRDefault="00BC0434" w:rsidP="00AB7FF0">
      <w:pPr>
        <w:spacing w:after="0" w:line="240" w:lineRule="auto"/>
        <w:jc w:val="both"/>
        <w:outlineLvl w:val="2"/>
        <w:rPr>
          <w:rFonts w:ascii="Arial" w:eastAsia="Times New Roman" w:hAnsi="Arial" w:cs="Arial"/>
          <w:b/>
          <w:bCs/>
          <w:color w:val="000000"/>
          <w:sz w:val="24"/>
          <w:szCs w:val="24"/>
          <w:lang w:eastAsia="es-CO"/>
        </w:rPr>
      </w:pPr>
      <w:r w:rsidRPr="00C551C6">
        <w:rPr>
          <w:rFonts w:ascii="Arial" w:eastAsia="Times New Roman" w:hAnsi="Arial" w:cs="Arial"/>
          <w:b/>
          <w:bCs/>
          <w:color w:val="000000"/>
          <w:sz w:val="24"/>
          <w:szCs w:val="24"/>
          <w:lang w:eastAsia="es-CO"/>
        </w:rPr>
        <w:t xml:space="preserve">b) </w:t>
      </w:r>
      <w:r w:rsidR="00AE7F6F" w:rsidRPr="00C551C6">
        <w:rPr>
          <w:rFonts w:ascii="Arial" w:eastAsia="Times New Roman" w:hAnsi="Arial" w:cs="Arial"/>
          <w:b/>
          <w:bCs/>
          <w:color w:val="000000"/>
          <w:sz w:val="24"/>
          <w:szCs w:val="24"/>
          <w:lang w:eastAsia="es-CO"/>
        </w:rPr>
        <w:t xml:space="preserve">Determinación y alcance de la participación económica </w:t>
      </w:r>
    </w:p>
    <w:p w14:paraId="24A53DC3" w14:textId="677DB715" w:rsidR="00AE7F6F" w:rsidRPr="00556DD4" w:rsidRDefault="00AE7F6F" w:rsidP="00AB7FF0">
      <w:pPr>
        <w:spacing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b/>
          <w:bCs/>
          <w:color w:val="000000"/>
          <w:sz w:val="24"/>
          <w:szCs w:val="24"/>
          <w:lang w:eastAsia="es-CO"/>
        </w:rPr>
        <w:t>*</w:t>
      </w:r>
      <w:r w:rsidRPr="00C551C6">
        <w:rPr>
          <w:rFonts w:ascii="Arial" w:eastAsia="Times New Roman" w:hAnsi="Arial" w:cs="Arial"/>
          <w:color w:val="000000"/>
          <w:sz w:val="24"/>
          <w:szCs w:val="24"/>
          <w:lang w:eastAsia="es-CO"/>
        </w:rPr>
        <w:t xml:space="preserve"> </w:t>
      </w:r>
      <w:r w:rsidRPr="00556DD4">
        <w:rPr>
          <w:rFonts w:ascii="Arial" w:eastAsia="Times New Roman" w:hAnsi="Arial" w:cs="Arial"/>
          <w:color w:val="000000"/>
          <w:sz w:val="24"/>
          <w:szCs w:val="24"/>
          <w:lang w:eastAsia="es-CO"/>
        </w:rPr>
        <w:t>La participación se entiende como una regalía o participación económica establecida para los propietarios, basada en:</w:t>
      </w:r>
    </w:p>
    <w:p w14:paraId="723F2F03" w14:textId="6AE89BA4" w:rsidR="00AE7F6F" w:rsidRPr="00556DD4" w:rsidRDefault="00AE7F6F" w:rsidP="00AB7FF0">
      <w:pPr>
        <w:spacing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 xml:space="preserve">* </w:t>
      </w:r>
      <w:r w:rsidRPr="00556DD4">
        <w:rPr>
          <w:rFonts w:ascii="Arial" w:eastAsia="Times New Roman" w:hAnsi="Arial" w:cs="Arial"/>
          <w:color w:val="000000"/>
          <w:sz w:val="24"/>
          <w:szCs w:val="24"/>
          <w:lang w:eastAsia="es-CO"/>
        </w:rPr>
        <w:t>La ocupación de su propiedad.</w:t>
      </w:r>
    </w:p>
    <w:p w14:paraId="7CFB89BC" w14:textId="5B9725B2" w:rsidR="00AE7F6F" w:rsidRPr="00556DD4" w:rsidRDefault="00AE7F6F" w:rsidP="00AB7FF0">
      <w:pPr>
        <w:spacing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 xml:space="preserve">* </w:t>
      </w:r>
      <w:r w:rsidRPr="00556DD4">
        <w:rPr>
          <w:rFonts w:ascii="Arial" w:eastAsia="Times New Roman" w:hAnsi="Arial" w:cs="Arial"/>
          <w:color w:val="000000"/>
          <w:sz w:val="24"/>
          <w:szCs w:val="24"/>
          <w:lang w:eastAsia="es-CO"/>
        </w:rPr>
        <w:t>La limitación de derechos por la actividad extractiva.</w:t>
      </w:r>
    </w:p>
    <w:p w14:paraId="58DFF70B" w14:textId="72C7113D" w:rsidR="00AE7F6F" w:rsidRPr="00556DD4" w:rsidRDefault="00AE7F6F" w:rsidP="00AB7FF0">
      <w:pPr>
        <w:spacing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 xml:space="preserve">* </w:t>
      </w:r>
      <w:r w:rsidRPr="00556DD4">
        <w:rPr>
          <w:rFonts w:ascii="Arial" w:eastAsia="Times New Roman" w:hAnsi="Arial" w:cs="Arial"/>
          <w:color w:val="000000"/>
          <w:sz w:val="24"/>
          <w:szCs w:val="24"/>
          <w:lang w:eastAsia="es-CO"/>
        </w:rPr>
        <w:t xml:space="preserve">La necesidad de reconocer el valor y afectación a la propiedad privada en contexto de explotación de recursos </w:t>
      </w:r>
      <w:r w:rsidRPr="00C551C6">
        <w:rPr>
          <w:rFonts w:ascii="Arial" w:eastAsia="Times New Roman" w:hAnsi="Arial" w:cs="Arial"/>
          <w:color w:val="000000"/>
          <w:sz w:val="24"/>
          <w:szCs w:val="24"/>
          <w:lang w:eastAsia="es-CO"/>
        </w:rPr>
        <w:t xml:space="preserve">naturales </w:t>
      </w:r>
    </w:p>
    <w:p w14:paraId="628536BA" w14:textId="3418EFBE" w:rsidR="0087244D" w:rsidRPr="00C551C6" w:rsidRDefault="00AE7F6F" w:rsidP="0087244D">
      <w:pPr>
        <w:jc w:val="both"/>
        <w:rPr>
          <w:rFonts w:ascii="Arial" w:eastAsia="Times New Roman" w:hAnsi="Arial" w:cs="Arial"/>
          <w:color w:val="000000"/>
          <w:sz w:val="24"/>
          <w:szCs w:val="24"/>
          <w:bdr w:val="single" w:sz="2" w:space="0" w:color="auto" w:frame="1"/>
          <w:lang w:eastAsia="es-CO"/>
        </w:rPr>
      </w:pPr>
      <w:r w:rsidRPr="00C551C6">
        <w:rPr>
          <w:rFonts w:ascii="Arial" w:eastAsia="Times New Roman" w:hAnsi="Arial" w:cs="Arial"/>
          <w:color w:val="000000"/>
          <w:sz w:val="24"/>
          <w:szCs w:val="24"/>
          <w:lang w:eastAsia="es-CO"/>
        </w:rPr>
        <w:t xml:space="preserve">* </w:t>
      </w:r>
      <w:r w:rsidRPr="00556DD4">
        <w:rPr>
          <w:rFonts w:ascii="Arial" w:eastAsia="Times New Roman" w:hAnsi="Arial" w:cs="Arial"/>
          <w:color w:val="000000"/>
          <w:sz w:val="24"/>
          <w:szCs w:val="24"/>
          <w:lang w:eastAsia="es-CO"/>
        </w:rPr>
        <w:t>La participación económica histórica se basa en indemnizaciones, pero actualmente se busca ampliar esa participación con mecanismos periódicos</w:t>
      </w:r>
    </w:p>
    <w:p w14:paraId="13A7268A" w14:textId="735BB7A0" w:rsidR="0087244D" w:rsidRPr="00C551C6" w:rsidRDefault="0087244D" w:rsidP="0087244D">
      <w:pPr>
        <w:jc w:val="both"/>
        <w:rPr>
          <w:rFonts w:ascii="Arial" w:eastAsia="Times New Roman" w:hAnsi="Arial" w:cs="Arial"/>
          <w:b/>
          <w:bCs/>
          <w:color w:val="000000"/>
          <w:sz w:val="24"/>
          <w:szCs w:val="24"/>
          <w:lang w:eastAsia="es-CO"/>
        </w:rPr>
      </w:pPr>
      <w:r w:rsidRPr="00C551C6">
        <w:rPr>
          <w:rFonts w:ascii="Arial" w:eastAsia="Times New Roman" w:hAnsi="Arial" w:cs="Arial"/>
          <w:b/>
          <w:bCs/>
          <w:color w:val="000000"/>
          <w:sz w:val="24"/>
          <w:szCs w:val="24"/>
          <w:lang w:eastAsia="es-CO"/>
        </w:rPr>
        <w:t>Seguridad, inversión social y fondo de seguridad</w:t>
      </w:r>
    </w:p>
    <w:p w14:paraId="013FB7F5" w14:textId="38242AFB" w:rsidR="00556DD4" w:rsidRPr="00556DD4" w:rsidRDefault="00556DD4" w:rsidP="0087244D">
      <w:pPr>
        <w:jc w:val="both"/>
        <w:rPr>
          <w:rFonts w:ascii="Arial" w:hAnsi="Arial" w:cs="Arial"/>
          <w:sz w:val="24"/>
          <w:szCs w:val="24"/>
          <w:lang w:eastAsia="es-CO"/>
        </w:rPr>
      </w:pPr>
      <w:r w:rsidRPr="00556DD4">
        <w:rPr>
          <w:rFonts w:ascii="Arial" w:eastAsia="Times New Roman" w:hAnsi="Arial" w:cs="Arial"/>
          <w:color w:val="000000"/>
          <w:sz w:val="24"/>
          <w:szCs w:val="24"/>
          <w:lang w:eastAsia="es-CO"/>
        </w:rPr>
        <w:lastRenderedPageBreak/>
        <w:t xml:space="preserve">El proyecto </w:t>
      </w:r>
      <w:r w:rsidR="0087244D" w:rsidRPr="00C551C6">
        <w:rPr>
          <w:rFonts w:ascii="Arial" w:eastAsia="Times New Roman" w:hAnsi="Arial" w:cs="Arial"/>
          <w:color w:val="000000"/>
          <w:sz w:val="24"/>
          <w:szCs w:val="24"/>
          <w:lang w:eastAsia="es-CO"/>
        </w:rPr>
        <w:t>establece,</w:t>
      </w:r>
      <w:r w:rsidRPr="00556DD4">
        <w:rPr>
          <w:rFonts w:ascii="Arial" w:eastAsia="Times New Roman" w:hAnsi="Arial" w:cs="Arial"/>
          <w:color w:val="000000"/>
          <w:sz w:val="24"/>
          <w:szCs w:val="24"/>
          <w:lang w:eastAsia="es-CO"/>
        </w:rPr>
        <w:t xml:space="preserve"> además:</w:t>
      </w:r>
    </w:p>
    <w:p w14:paraId="0480E063" w14:textId="4522F9FF" w:rsidR="00556DD4" w:rsidRPr="00C551C6" w:rsidRDefault="00556DD4" w:rsidP="00627B1A">
      <w:pPr>
        <w:pStyle w:val="Prrafodelista"/>
        <w:numPr>
          <w:ilvl w:val="0"/>
          <w:numId w:val="3"/>
        </w:numPr>
        <w:spacing w:after="0" w:line="240" w:lineRule="auto"/>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 xml:space="preserve">Un mecanismo estatal para garantizar seguridad y protección de infraestructura estratégica en áreas de exploración y producción, mediante mecanismos de </w:t>
      </w:r>
      <w:r w:rsidR="0087244D" w:rsidRPr="00C551C6">
        <w:rPr>
          <w:rFonts w:ascii="Arial" w:eastAsia="Times New Roman" w:hAnsi="Arial" w:cs="Arial"/>
          <w:color w:val="000000"/>
          <w:sz w:val="24"/>
          <w:szCs w:val="24"/>
          <w:lang w:eastAsia="es-CO"/>
        </w:rPr>
        <w:t xml:space="preserve">corresponsabilidad </w:t>
      </w:r>
    </w:p>
    <w:p w14:paraId="5F2CFA26" w14:textId="768EEE3D" w:rsidR="00556DD4" w:rsidRPr="00C551C6" w:rsidRDefault="00556DD4" w:rsidP="00627B1A">
      <w:pPr>
        <w:pStyle w:val="Prrafodelista"/>
        <w:numPr>
          <w:ilvl w:val="0"/>
          <w:numId w:val="3"/>
        </w:numPr>
        <w:spacing w:after="0" w:line="240" w:lineRule="auto"/>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La creación de un fondo administrado por el Ministerio de Defensa para programas de seguridad y convivencia en zonas afectadas por hidrocarburos, promoviendo mayor protección de las comunidades y la</w:t>
      </w:r>
      <w:r w:rsidR="0087244D" w:rsidRPr="00C551C6">
        <w:rPr>
          <w:rFonts w:ascii="Arial" w:eastAsia="Times New Roman" w:hAnsi="Arial" w:cs="Arial"/>
          <w:color w:val="000000"/>
          <w:sz w:val="24"/>
          <w:szCs w:val="24"/>
          <w:lang w:eastAsia="es-CO"/>
        </w:rPr>
        <w:t xml:space="preserve"> infraestructura</w:t>
      </w:r>
      <w:r w:rsidRPr="00C551C6">
        <w:rPr>
          <w:rFonts w:ascii="Arial" w:eastAsia="Times New Roman" w:hAnsi="Arial" w:cs="Arial"/>
          <w:color w:val="000000"/>
          <w:sz w:val="24"/>
          <w:szCs w:val="24"/>
          <w:lang w:eastAsia="es-CO"/>
        </w:rPr>
        <w:t>.</w:t>
      </w:r>
    </w:p>
    <w:p w14:paraId="29CE8F65" w14:textId="57275429" w:rsidR="00556DD4" w:rsidRPr="00556DD4" w:rsidRDefault="00556DD4" w:rsidP="00D21F56">
      <w:pPr>
        <w:spacing w:after="0" w:line="240" w:lineRule="auto"/>
        <w:jc w:val="both"/>
        <w:outlineLvl w:val="2"/>
        <w:rPr>
          <w:rFonts w:ascii="Arial" w:eastAsia="Times New Roman" w:hAnsi="Arial" w:cs="Arial"/>
          <w:color w:val="000000"/>
          <w:sz w:val="24"/>
          <w:szCs w:val="24"/>
          <w:lang w:eastAsia="es-CO"/>
        </w:rPr>
      </w:pPr>
    </w:p>
    <w:p w14:paraId="745FED94" w14:textId="7E1E4DCE" w:rsidR="00556DD4" w:rsidRPr="00556DD4" w:rsidRDefault="00556DD4" w:rsidP="0087244D">
      <w:pPr>
        <w:spacing w:after="0" w:line="240" w:lineRule="auto"/>
        <w:jc w:val="both"/>
        <w:rPr>
          <w:rFonts w:ascii="Arial" w:eastAsia="Times New Roman" w:hAnsi="Arial" w:cs="Arial"/>
          <w:color w:val="000000"/>
          <w:sz w:val="24"/>
          <w:szCs w:val="24"/>
          <w:lang w:eastAsia="es-CO"/>
        </w:rPr>
      </w:pPr>
      <w:r w:rsidRPr="00556DD4">
        <w:rPr>
          <w:rFonts w:ascii="Arial" w:eastAsia="Times New Roman" w:hAnsi="Arial" w:cs="Arial"/>
          <w:color w:val="000000"/>
          <w:sz w:val="24"/>
          <w:szCs w:val="24"/>
          <w:lang w:eastAsia="es-CO"/>
        </w:rPr>
        <w:t xml:space="preserve">La </w:t>
      </w:r>
      <w:proofErr w:type="spellStart"/>
      <w:r w:rsidRPr="00556DD4">
        <w:rPr>
          <w:rFonts w:ascii="Arial" w:eastAsia="Times New Roman" w:hAnsi="Arial" w:cs="Arial"/>
          <w:color w:val="000000"/>
          <w:sz w:val="24"/>
          <w:szCs w:val="24"/>
          <w:lang w:eastAsia="es-CO"/>
        </w:rPr>
        <w:t>remunración</w:t>
      </w:r>
      <w:proofErr w:type="spellEnd"/>
      <w:r w:rsidRPr="00556DD4">
        <w:rPr>
          <w:rFonts w:ascii="Arial" w:eastAsia="Times New Roman" w:hAnsi="Arial" w:cs="Arial"/>
          <w:color w:val="000000"/>
          <w:sz w:val="24"/>
          <w:szCs w:val="24"/>
          <w:lang w:eastAsia="es-CO"/>
        </w:rPr>
        <w:t xml:space="preserve"> propuesta representa un cambio sustancial respecto a la tradicional indemnización, promoviendo participación económica continua para los</w:t>
      </w:r>
      <w:r w:rsidR="00AB7FF0" w:rsidRPr="00C551C6">
        <w:rPr>
          <w:rFonts w:ascii="Arial" w:eastAsia="Times New Roman" w:hAnsi="Arial" w:cs="Arial"/>
          <w:color w:val="000000"/>
          <w:sz w:val="24"/>
          <w:szCs w:val="24"/>
          <w:lang w:eastAsia="es-CO"/>
        </w:rPr>
        <w:t xml:space="preserve"> propietarios</w:t>
      </w:r>
      <w:r w:rsidRPr="00556DD4">
        <w:rPr>
          <w:rFonts w:ascii="Arial" w:eastAsia="Times New Roman" w:hAnsi="Arial" w:cs="Arial"/>
          <w:color w:val="000000"/>
          <w:sz w:val="24"/>
          <w:szCs w:val="24"/>
          <w:lang w:eastAsia="es-CO"/>
        </w:rPr>
        <w:t>.</w:t>
      </w:r>
    </w:p>
    <w:p w14:paraId="1F2A4971" w14:textId="1472445A" w:rsidR="00556DD4" w:rsidRPr="00556DD4" w:rsidRDefault="00627B1A" w:rsidP="0087244D">
      <w:pPr>
        <w:spacing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Hay una ausencia absoluta</w:t>
      </w:r>
      <w:r w:rsidR="00556DD4" w:rsidRPr="00556DD4">
        <w:rPr>
          <w:rFonts w:ascii="Arial" w:eastAsia="Times New Roman" w:hAnsi="Arial" w:cs="Arial"/>
          <w:color w:val="000000"/>
          <w:sz w:val="24"/>
          <w:szCs w:val="24"/>
          <w:lang w:eastAsia="es-CO"/>
        </w:rPr>
        <w:t xml:space="preserve"> de </w:t>
      </w:r>
      <w:r w:rsidRPr="00C551C6">
        <w:rPr>
          <w:rFonts w:ascii="Arial" w:eastAsia="Times New Roman" w:hAnsi="Arial" w:cs="Arial"/>
          <w:color w:val="000000"/>
          <w:sz w:val="24"/>
          <w:szCs w:val="24"/>
          <w:lang w:eastAsia="es-CO"/>
        </w:rPr>
        <w:t xml:space="preserve">la </w:t>
      </w:r>
      <w:r w:rsidR="00556DD4" w:rsidRPr="00556DD4">
        <w:rPr>
          <w:rFonts w:ascii="Arial" w:eastAsia="Times New Roman" w:hAnsi="Arial" w:cs="Arial"/>
          <w:color w:val="000000"/>
          <w:sz w:val="24"/>
          <w:szCs w:val="24"/>
          <w:lang w:eastAsia="es-CO"/>
        </w:rPr>
        <w:t>obligación explícita de destinar</w:t>
      </w:r>
      <w:r w:rsidRPr="00C551C6">
        <w:rPr>
          <w:rFonts w:ascii="Arial" w:eastAsia="Times New Roman" w:hAnsi="Arial" w:cs="Arial"/>
          <w:color w:val="000000"/>
          <w:sz w:val="24"/>
          <w:szCs w:val="24"/>
          <w:lang w:eastAsia="es-CO"/>
        </w:rPr>
        <w:t xml:space="preserve"> parte de esa participación porcentual, que debería aumentarse un poco más y destinar un % por el propietario del predio o de la empresa explotadora en</w:t>
      </w:r>
      <w:r w:rsidR="00556DD4" w:rsidRPr="00556DD4">
        <w:rPr>
          <w:rFonts w:ascii="Arial" w:eastAsia="Times New Roman" w:hAnsi="Arial" w:cs="Arial"/>
          <w:color w:val="000000"/>
          <w:sz w:val="24"/>
          <w:szCs w:val="24"/>
          <w:lang w:eastAsia="es-CO"/>
        </w:rPr>
        <w:t xml:space="preserve"> obras ecológicas o reservas en el predio</w:t>
      </w:r>
      <w:r w:rsidRPr="00C551C6">
        <w:rPr>
          <w:rFonts w:ascii="Arial" w:eastAsia="Times New Roman" w:hAnsi="Arial" w:cs="Arial"/>
          <w:color w:val="000000"/>
          <w:sz w:val="24"/>
          <w:szCs w:val="24"/>
          <w:lang w:eastAsia="es-CO"/>
        </w:rPr>
        <w:t xml:space="preserve">, </w:t>
      </w:r>
      <w:r w:rsidR="00556DD4" w:rsidRPr="00556DD4">
        <w:rPr>
          <w:rFonts w:ascii="Arial" w:eastAsia="Times New Roman" w:hAnsi="Arial" w:cs="Arial"/>
          <w:color w:val="000000"/>
          <w:sz w:val="24"/>
          <w:szCs w:val="24"/>
          <w:lang w:eastAsia="es-CO"/>
        </w:rPr>
        <w:t xml:space="preserve">no hay vinculación directa con acciones ambientales, </w:t>
      </w:r>
      <w:r w:rsidRPr="00C551C6">
        <w:rPr>
          <w:rFonts w:ascii="Arial" w:eastAsia="Times New Roman" w:hAnsi="Arial" w:cs="Arial"/>
          <w:color w:val="000000"/>
          <w:sz w:val="24"/>
          <w:szCs w:val="24"/>
          <w:lang w:eastAsia="es-CO"/>
        </w:rPr>
        <w:t>lo cual podría incluirse; otorgándole al dueño del predio algunos estímulos.</w:t>
      </w:r>
    </w:p>
    <w:p w14:paraId="34504580" w14:textId="078720F2" w:rsidR="00556DD4" w:rsidRPr="00556DD4" w:rsidRDefault="00556DD4" w:rsidP="0087244D">
      <w:pPr>
        <w:spacing w:after="0" w:line="240" w:lineRule="auto"/>
        <w:jc w:val="both"/>
        <w:rPr>
          <w:rFonts w:ascii="Arial" w:eastAsia="Times New Roman" w:hAnsi="Arial" w:cs="Arial"/>
          <w:color w:val="000000"/>
          <w:sz w:val="24"/>
          <w:szCs w:val="24"/>
          <w:lang w:eastAsia="es-CO"/>
        </w:rPr>
      </w:pPr>
      <w:r w:rsidRPr="00556DD4">
        <w:rPr>
          <w:rFonts w:ascii="Arial" w:eastAsia="Times New Roman" w:hAnsi="Arial" w:cs="Arial"/>
          <w:color w:val="000000"/>
          <w:sz w:val="24"/>
          <w:szCs w:val="24"/>
          <w:lang w:eastAsia="es-CO"/>
        </w:rPr>
        <w:t>La propuesta busca  mejorar la</w:t>
      </w:r>
      <w:r w:rsidR="00627B1A" w:rsidRPr="00C551C6">
        <w:rPr>
          <w:rFonts w:ascii="Arial" w:eastAsia="Times New Roman" w:hAnsi="Arial" w:cs="Arial"/>
          <w:color w:val="000000"/>
          <w:sz w:val="24"/>
          <w:szCs w:val="24"/>
          <w:lang w:eastAsia="es-CO"/>
        </w:rPr>
        <w:t xml:space="preserve">s relaciones o </w:t>
      </w:r>
      <w:r w:rsidRPr="00556DD4">
        <w:rPr>
          <w:rFonts w:ascii="Arial" w:eastAsia="Times New Roman" w:hAnsi="Arial" w:cs="Arial"/>
          <w:color w:val="000000"/>
          <w:sz w:val="24"/>
          <w:szCs w:val="24"/>
          <w:lang w:eastAsia="es-CO"/>
        </w:rPr>
        <w:t xml:space="preserve">reducir conflictos, promoviendo mecanismos de distribución de beneficios que involucren a las comunidades locales y propietarios </w:t>
      </w:r>
      <w:r w:rsidR="0087244D" w:rsidRPr="00C551C6">
        <w:rPr>
          <w:rFonts w:ascii="Arial" w:eastAsia="Times New Roman" w:hAnsi="Arial" w:cs="Arial"/>
          <w:color w:val="000000"/>
          <w:sz w:val="24"/>
          <w:szCs w:val="24"/>
          <w:lang w:eastAsia="es-CO"/>
        </w:rPr>
        <w:t>afectados</w:t>
      </w:r>
      <w:r w:rsidR="00627B1A" w:rsidRPr="00C551C6">
        <w:rPr>
          <w:rFonts w:ascii="Arial" w:eastAsia="Times New Roman" w:hAnsi="Arial" w:cs="Arial"/>
          <w:color w:val="000000"/>
          <w:sz w:val="24"/>
          <w:szCs w:val="24"/>
          <w:lang w:eastAsia="es-CO"/>
        </w:rPr>
        <w:t xml:space="preserve">. </w:t>
      </w:r>
    </w:p>
    <w:p w14:paraId="068703FD" w14:textId="72566BF3" w:rsidR="00556DD4" w:rsidRPr="00556DD4" w:rsidRDefault="00556DD4" w:rsidP="00AB7FF0">
      <w:pPr>
        <w:spacing w:before="120" w:after="120" w:line="240" w:lineRule="auto"/>
        <w:ind w:left="720"/>
        <w:jc w:val="both"/>
        <w:rPr>
          <w:rFonts w:ascii="Arial" w:eastAsia="Times New Roman" w:hAnsi="Arial" w:cs="Arial"/>
          <w:color w:val="000000"/>
          <w:sz w:val="24"/>
          <w:szCs w:val="24"/>
          <w:lang w:eastAsia="es-CO"/>
        </w:rPr>
      </w:pPr>
    </w:p>
    <w:p w14:paraId="04B0B524" w14:textId="168FAB5A" w:rsidR="00556DD4" w:rsidRPr="00556DD4" w:rsidRDefault="00556DD4" w:rsidP="0087244D">
      <w:pPr>
        <w:spacing w:after="0" w:line="240" w:lineRule="auto"/>
        <w:jc w:val="both"/>
        <w:outlineLvl w:val="2"/>
        <w:rPr>
          <w:rFonts w:ascii="Arial" w:eastAsia="Times New Roman" w:hAnsi="Arial" w:cs="Arial"/>
          <w:color w:val="000000"/>
          <w:sz w:val="24"/>
          <w:szCs w:val="24"/>
          <w:lang w:eastAsia="es-CO"/>
        </w:rPr>
      </w:pPr>
      <w:r w:rsidRPr="00556DD4">
        <w:rPr>
          <w:rFonts w:ascii="Arial" w:eastAsia="Times New Roman" w:hAnsi="Arial" w:cs="Arial"/>
          <w:color w:val="000000"/>
          <w:sz w:val="24"/>
          <w:szCs w:val="24"/>
          <w:lang w:eastAsia="es-CO"/>
        </w:rPr>
        <w:t>4.</w:t>
      </w:r>
      <w:r w:rsidR="00AE7F6F" w:rsidRPr="00C551C6">
        <w:rPr>
          <w:rFonts w:ascii="Arial" w:eastAsia="Times New Roman" w:hAnsi="Arial" w:cs="Arial"/>
          <w:color w:val="000000"/>
          <w:sz w:val="24"/>
          <w:szCs w:val="24"/>
          <w:lang w:eastAsia="es-CO"/>
        </w:rPr>
        <w:t xml:space="preserve"> Resumen final </w:t>
      </w:r>
    </w:p>
    <w:p w14:paraId="0A21CA59" w14:textId="5E9566BC" w:rsidR="00556DD4" w:rsidRPr="00C551C6" w:rsidRDefault="00556DD4" w:rsidP="00AB7FF0">
      <w:pPr>
        <w:spacing w:after="0" w:line="240" w:lineRule="auto"/>
        <w:ind w:left="720"/>
        <w:jc w:val="both"/>
        <w:rPr>
          <w:rFonts w:ascii="Arial" w:eastAsia="Times New Roman" w:hAnsi="Arial" w:cs="Arial"/>
          <w:color w:val="000000"/>
          <w:sz w:val="24"/>
          <w:szCs w:val="24"/>
          <w:lang w:eastAsia="es-CO"/>
        </w:rPr>
      </w:pPr>
      <w:r w:rsidRPr="00556DD4">
        <w:rPr>
          <w:rFonts w:ascii="Arial" w:eastAsia="Times New Roman" w:hAnsi="Arial" w:cs="Arial"/>
          <w:color w:val="000000"/>
          <w:sz w:val="24"/>
          <w:szCs w:val="24"/>
          <w:lang w:eastAsia="es-CO"/>
        </w:rPr>
        <w:t xml:space="preserve">El proyecto de ley propone una participación periódica y equitativa de propietarios afectados por la actividad hidrocarburífera, complementando las indemnizaciones tradicionales. Incluye mecanismos para fortalecer la seguridad en las zonas de explotación y promover inversión social mediante fondos gestionados por el Estado. </w:t>
      </w:r>
    </w:p>
    <w:p w14:paraId="27CDF737" w14:textId="77777777" w:rsidR="006275C1" w:rsidRPr="00C551C6" w:rsidRDefault="006275C1" w:rsidP="00AB7FF0">
      <w:pPr>
        <w:spacing w:after="0" w:line="240" w:lineRule="auto"/>
        <w:ind w:left="720"/>
        <w:jc w:val="both"/>
        <w:rPr>
          <w:rFonts w:ascii="Arial" w:eastAsia="Times New Roman" w:hAnsi="Arial" w:cs="Arial"/>
          <w:color w:val="000000"/>
          <w:sz w:val="24"/>
          <w:szCs w:val="24"/>
          <w:lang w:eastAsia="es-CO"/>
        </w:rPr>
      </w:pPr>
    </w:p>
    <w:p w14:paraId="2B298148" w14:textId="21029688" w:rsidR="006275C1" w:rsidRPr="00C551C6" w:rsidRDefault="006275C1" w:rsidP="006275C1">
      <w:pPr>
        <w:spacing w:after="0" w:line="240" w:lineRule="auto"/>
        <w:jc w:val="both"/>
        <w:rPr>
          <w:rFonts w:ascii="Arial" w:eastAsia="Times New Roman" w:hAnsi="Arial" w:cs="Arial"/>
          <w:b/>
          <w:bCs/>
          <w:color w:val="000000"/>
          <w:sz w:val="24"/>
          <w:szCs w:val="24"/>
          <w:lang w:eastAsia="es-CO"/>
        </w:rPr>
      </w:pPr>
      <w:r w:rsidRPr="00C551C6">
        <w:rPr>
          <w:rFonts w:ascii="Arial" w:eastAsia="Times New Roman" w:hAnsi="Arial" w:cs="Arial"/>
          <w:b/>
          <w:bCs/>
          <w:color w:val="000000"/>
          <w:sz w:val="24"/>
          <w:szCs w:val="24"/>
          <w:lang w:eastAsia="es-CO"/>
        </w:rPr>
        <w:t xml:space="preserve">Consideraciones finales </w:t>
      </w:r>
    </w:p>
    <w:p w14:paraId="1EBF84F4" w14:textId="77777777" w:rsidR="006275C1" w:rsidRPr="00C551C6" w:rsidRDefault="006275C1" w:rsidP="006275C1">
      <w:pPr>
        <w:spacing w:after="0" w:line="240" w:lineRule="auto"/>
        <w:jc w:val="both"/>
        <w:rPr>
          <w:rFonts w:ascii="Arial" w:eastAsia="Times New Roman" w:hAnsi="Arial" w:cs="Arial"/>
          <w:b/>
          <w:bCs/>
          <w:color w:val="000000"/>
          <w:sz w:val="24"/>
          <w:szCs w:val="24"/>
          <w:lang w:eastAsia="es-CO"/>
        </w:rPr>
      </w:pPr>
    </w:p>
    <w:p w14:paraId="54E0FA88" w14:textId="5F66F5E9" w:rsidR="006275C1" w:rsidRPr="00C551C6" w:rsidRDefault="00442B31" w:rsidP="006275C1">
      <w:pPr>
        <w:spacing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Esto a mi modo  de ver no es nuevo, en el pasado en la década de los 90 se le entregaba a los particulares dueños de predios en donde se hacían explotaciones petroleras unas “regalías” que se basaban en una serie de decretos y que los propietarios de los predios del Cusiana se vieron beneficiados. En 1996 el Consejo de Estado anuló parcialmente algunos artículos de los siguientes decretos:</w:t>
      </w:r>
    </w:p>
    <w:p w14:paraId="48547734" w14:textId="6EA337D5" w:rsidR="00442B31" w:rsidRPr="00C551C6" w:rsidRDefault="00442B31" w:rsidP="006275C1">
      <w:pPr>
        <w:spacing w:after="0" w:line="240" w:lineRule="auto"/>
        <w:jc w:val="both"/>
        <w:rPr>
          <w:rFonts w:ascii="Arial" w:eastAsia="Times New Roman" w:hAnsi="Arial" w:cs="Arial"/>
          <w:color w:val="000000"/>
          <w:sz w:val="24"/>
          <w:szCs w:val="24"/>
          <w:lang w:eastAsia="es-CO"/>
        </w:rPr>
      </w:pPr>
    </w:p>
    <w:p w14:paraId="07DEE482" w14:textId="04218919" w:rsidR="00442B31" w:rsidRPr="00C551C6" w:rsidRDefault="00442B31" w:rsidP="006275C1">
      <w:pPr>
        <w:spacing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Decreto 53 de 1993</w:t>
      </w:r>
    </w:p>
    <w:p w14:paraId="18B2186D" w14:textId="45E90434" w:rsidR="00442B31" w:rsidRPr="00C551C6" w:rsidRDefault="00442B31" w:rsidP="006275C1">
      <w:pPr>
        <w:spacing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Decreto 108 de 1994</w:t>
      </w:r>
    </w:p>
    <w:p w14:paraId="675C0CF6" w14:textId="74B8EFA6" w:rsidR="00442B31" w:rsidRPr="00C551C6" w:rsidRDefault="00442B31" w:rsidP="006275C1">
      <w:pPr>
        <w:spacing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Decreto 49 de 1995</w:t>
      </w:r>
    </w:p>
    <w:p w14:paraId="78F80955" w14:textId="43BAFA71" w:rsidR="006F1D26" w:rsidRPr="00C551C6" w:rsidRDefault="00442B31" w:rsidP="006275C1">
      <w:pPr>
        <w:spacing w:after="0" w:line="240" w:lineRule="auto"/>
        <w:jc w:val="both"/>
        <w:rPr>
          <w:rFonts w:ascii="Arial" w:eastAsia="Times New Roman" w:hAnsi="Arial" w:cs="Arial"/>
          <w:color w:val="000000"/>
          <w:sz w:val="24"/>
          <w:szCs w:val="24"/>
          <w:lang w:eastAsia="es-CO"/>
        </w:rPr>
      </w:pPr>
      <w:r w:rsidRPr="00C551C6">
        <w:rPr>
          <w:rFonts w:ascii="Arial" w:eastAsia="Times New Roman" w:hAnsi="Arial" w:cs="Arial"/>
          <w:color w:val="000000"/>
          <w:sz w:val="24"/>
          <w:szCs w:val="24"/>
          <w:lang w:eastAsia="es-CO"/>
        </w:rPr>
        <w:t xml:space="preserve">Y otros Decretos similares con el manejo del campo Cusiana, </w:t>
      </w:r>
      <w:r w:rsidR="006F1D26" w:rsidRPr="00C551C6">
        <w:rPr>
          <w:rFonts w:ascii="Arial" w:eastAsia="Times New Roman" w:hAnsi="Arial" w:cs="Arial"/>
          <w:color w:val="000000"/>
          <w:sz w:val="24"/>
          <w:szCs w:val="24"/>
          <w:lang w:eastAsia="es-CO"/>
        </w:rPr>
        <w:t xml:space="preserve">esto se dio por cuanto permitían el derecho sobre el subsuelo con regalías a personas particulares, específicamente a unas 51 familias que decían tener títulos o derechos antiguos, el Consejo de Estado dictaminó que no se podían reconocer esos derechos que violaban la Constitución Art. 332, que establece que los naturales no renovables pertenecen  a la Nación y por ello los pagos a los particulares fueron suspendidos y </w:t>
      </w:r>
      <w:r w:rsidR="006F1D26" w:rsidRPr="00C551C6">
        <w:rPr>
          <w:rFonts w:ascii="Arial" w:eastAsia="Times New Roman" w:hAnsi="Arial" w:cs="Arial"/>
          <w:color w:val="000000"/>
          <w:sz w:val="24"/>
          <w:szCs w:val="24"/>
          <w:lang w:eastAsia="es-CO"/>
        </w:rPr>
        <w:lastRenderedPageBreak/>
        <w:t xml:space="preserve">se declaró que el manejo de esas </w:t>
      </w:r>
      <w:r w:rsidR="00C551C6" w:rsidRPr="00C551C6">
        <w:rPr>
          <w:rFonts w:ascii="Arial" w:eastAsia="Times New Roman" w:hAnsi="Arial" w:cs="Arial"/>
          <w:color w:val="000000"/>
          <w:sz w:val="24"/>
          <w:szCs w:val="24"/>
          <w:lang w:eastAsia="es-CO"/>
        </w:rPr>
        <w:t>debían ajustarse a lo dispuesto en la ley del Sistema General de Regalías, destinación para entes territoriales y no a individuos.</w:t>
      </w:r>
    </w:p>
    <w:p w14:paraId="0452D5C1" w14:textId="77777777" w:rsidR="00442B31" w:rsidRPr="00C551C6" w:rsidRDefault="00442B31" w:rsidP="006275C1">
      <w:pPr>
        <w:spacing w:after="0" w:line="240" w:lineRule="auto"/>
        <w:jc w:val="both"/>
        <w:rPr>
          <w:rFonts w:ascii="Arial" w:eastAsia="Times New Roman" w:hAnsi="Arial" w:cs="Arial"/>
          <w:color w:val="000000"/>
          <w:sz w:val="24"/>
          <w:szCs w:val="24"/>
          <w:lang w:eastAsia="es-CO"/>
        </w:rPr>
      </w:pPr>
    </w:p>
    <w:p w14:paraId="7A38B963" w14:textId="77777777" w:rsidR="00C551C6" w:rsidRPr="00556DD4" w:rsidRDefault="00C551C6" w:rsidP="006275C1">
      <w:pPr>
        <w:spacing w:after="0" w:line="240" w:lineRule="auto"/>
        <w:jc w:val="both"/>
        <w:rPr>
          <w:rFonts w:ascii="Arial" w:eastAsia="Times New Roman" w:hAnsi="Arial" w:cs="Arial"/>
          <w:color w:val="000000"/>
          <w:sz w:val="24"/>
          <w:szCs w:val="24"/>
          <w:lang w:eastAsia="es-CO"/>
        </w:rPr>
      </w:pPr>
    </w:p>
    <w:sectPr w:rsidR="00C551C6" w:rsidRPr="00556DD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F25FE"/>
    <w:multiLevelType w:val="hybridMultilevel"/>
    <w:tmpl w:val="3880CFC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FD32A09"/>
    <w:multiLevelType w:val="multilevel"/>
    <w:tmpl w:val="AC4A1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D224E8"/>
    <w:multiLevelType w:val="hybridMultilevel"/>
    <w:tmpl w:val="ADF63912"/>
    <w:lvl w:ilvl="0" w:tplc="E6CCE61E">
      <w:start w:val="3"/>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07307006">
    <w:abstractNumId w:val="1"/>
  </w:num>
  <w:num w:numId="2" w16cid:durableId="1124156080">
    <w:abstractNumId w:val="0"/>
  </w:num>
  <w:num w:numId="3" w16cid:durableId="20403565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DD4"/>
    <w:rsid w:val="00317886"/>
    <w:rsid w:val="003375F7"/>
    <w:rsid w:val="00422787"/>
    <w:rsid w:val="00442B31"/>
    <w:rsid w:val="00510B43"/>
    <w:rsid w:val="00556DD4"/>
    <w:rsid w:val="005B0C69"/>
    <w:rsid w:val="006275C1"/>
    <w:rsid w:val="00627B1A"/>
    <w:rsid w:val="006335D3"/>
    <w:rsid w:val="00654E01"/>
    <w:rsid w:val="006F1D26"/>
    <w:rsid w:val="00745B0D"/>
    <w:rsid w:val="0087244D"/>
    <w:rsid w:val="00AB7FF0"/>
    <w:rsid w:val="00AC76BE"/>
    <w:rsid w:val="00AE7F6F"/>
    <w:rsid w:val="00BC0434"/>
    <w:rsid w:val="00C551C6"/>
    <w:rsid w:val="00D21F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EDEE4"/>
  <w15:chartTrackingRefBased/>
  <w15:docId w15:val="{0412960C-7A0A-4808-8193-70121BF0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56D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556D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556DD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556DD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556DD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556DD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56DD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56DD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56DD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56DD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556DD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556DD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556DD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556DD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556DD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56DD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56DD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56DD4"/>
    <w:rPr>
      <w:rFonts w:eastAsiaTheme="majorEastAsia" w:cstheme="majorBidi"/>
      <w:color w:val="272727" w:themeColor="text1" w:themeTint="D8"/>
    </w:rPr>
  </w:style>
  <w:style w:type="paragraph" w:styleId="Ttulo">
    <w:name w:val="Title"/>
    <w:basedOn w:val="Normal"/>
    <w:next w:val="Normal"/>
    <w:link w:val="TtuloCar"/>
    <w:uiPriority w:val="10"/>
    <w:qFormat/>
    <w:rsid w:val="00556D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56DD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56DD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56DD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56DD4"/>
    <w:pPr>
      <w:spacing w:before="160"/>
      <w:jc w:val="center"/>
    </w:pPr>
    <w:rPr>
      <w:i/>
      <w:iCs/>
      <w:color w:val="404040" w:themeColor="text1" w:themeTint="BF"/>
    </w:rPr>
  </w:style>
  <w:style w:type="character" w:customStyle="1" w:styleId="CitaCar">
    <w:name w:val="Cita Car"/>
    <w:basedOn w:val="Fuentedeprrafopredeter"/>
    <w:link w:val="Cita"/>
    <w:uiPriority w:val="29"/>
    <w:rsid w:val="00556DD4"/>
    <w:rPr>
      <w:i/>
      <w:iCs/>
      <w:color w:val="404040" w:themeColor="text1" w:themeTint="BF"/>
    </w:rPr>
  </w:style>
  <w:style w:type="paragraph" w:styleId="Prrafodelista">
    <w:name w:val="List Paragraph"/>
    <w:basedOn w:val="Normal"/>
    <w:uiPriority w:val="34"/>
    <w:qFormat/>
    <w:rsid w:val="00556DD4"/>
    <w:pPr>
      <w:ind w:left="720"/>
      <w:contextualSpacing/>
    </w:pPr>
  </w:style>
  <w:style w:type="character" w:styleId="nfasisintenso">
    <w:name w:val="Intense Emphasis"/>
    <w:basedOn w:val="Fuentedeprrafopredeter"/>
    <w:uiPriority w:val="21"/>
    <w:qFormat/>
    <w:rsid w:val="00556DD4"/>
    <w:rPr>
      <w:i/>
      <w:iCs/>
      <w:color w:val="2F5496" w:themeColor="accent1" w:themeShade="BF"/>
    </w:rPr>
  </w:style>
  <w:style w:type="paragraph" w:styleId="Citadestacada">
    <w:name w:val="Intense Quote"/>
    <w:basedOn w:val="Normal"/>
    <w:next w:val="Normal"/>
    <w:link w:val="CitadestacadaCar"/>
    <w:uiPriority w:val="30"/>
    <w:qFormat/>
    <w:rsid w:val="00556D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556DD4"/>
    <w:rPr>
      <w:i/>
      <w:iCs/>
      <w:color w:val="2F5496" w:themeColor="accent1" w:themeShade="BF"/>
    </w:rPr>
  </w:style>
  <w:style w:type="character" w:styleId="Referenciaintensa">
    <w:name w:val="Intense Reference"/>
    <w:basedOn w:val="Fuentedeprrafopredeter"/>
    <w:uiPriority w:val="32"/>
    <w:qFormat/>
    <w:rsid w:val="00556DD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3</Pages>
  <Words>725</Words>
  <Characters>3990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MOSQUERA SUAREZ CARLOS STIVEN</dc:creator>
  <cp:keywords/>
  <dc:description/>
  <cp:lastModifiedBy>Microsoft Office User</cp:lastModifiedBy>
  <cp:revision>5</cp:revision>
  <dcterms:created xsi:type="dcterms:W3CDTF">2025-09-16T01:40:00Z</dcterms:created>
  <dcterms:modified xsi:type="dcterms:W3CDTF">2026-03-25T00:32:00Z</dcterms:modified>
</cp:coreProperties>
</file>